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CFC" w:rsidRDefault="00CA4A39">
      <w:pPr>
        <w:spacing w:after="0"/>
        <w:jc w:val="right"/>
      </w:pPr>
      <w:r>
        <w:rPr>
          <w:rFonts w:ascii="Lato Black"/>
          <w:b/>
        </w:rPr>
        <w:t>MSBA Core Manual</w:t>
      </w:r>
    </w:p>
    <w:p w:rsidR="007D7CFC" w:rsidRDefault="00CA4A39">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D7CFC">
        <w:tblPrEx>
          <w:tblCellMar>
            <w:bottom w:w="0" w:type="dxa"/>
          </w:tblCellMar>
        </w:tblPrEx>
        <w:tc>
          <w:tcPr>
            <w:tcW w:w="0" w:type="auto"/>
            <w:shd w:val="clear" w:color="auto" w:fill="EFEFEF"/>
          </w:tcPr>
          <w:p w:rsidR="007D7CFC" w:rsidRDefault="00CA4A39">
            <w:pPr>
              <w:spacing w:after="0"/>
            </w:pPr>
            <w:r>
              <w:rPr>
                <w:rFonts w:ascii="Lato Black"/>
                <w:b/>
              </w:rPr>
              <w:t>Policy JFCL: A+ SCHOLARSHIP PROGRAM</w:t>
            </w:r>
          </w:p>
        </w:tc>
        <w:tc>
          <w:tcPr>
            <w:tcW w:w="1000" w:type="pct"/>
            <w:shd w:val="clear" w:color="auto" w:fill="EFEFEF"/>
          </w:tcPr>
          <w:p w:rsidR="007D7CFC" w:rsidRDefault="00CA4A39">
            <w:r>
              <w:rPr>
                <w:rFonts w:ascii="Lato Black"/>
                <w:b/>
              </w:rPr>
              <w:t xml:space="preserve">Status: </w:t>
            </w:r>
            <w:r>
              <w:rPr>
                <w:rFonts w:ascii="Lato"/>
              </w:rPr>
              <w:t>ADOPTED</w:t>
            </w:r>
          </w:p>
        </w:tc>
      </w:tr>
      <w:tr w:rsidR="007D7CFC">
        <w:tblPrEx>
          <w:tblCellMar>
            <w:bottom w:w="0" w:type="dxa"/>
          </w:tblCellMar>
        </w:tblPrEx>
        <w:tc>
          <w:tcPr>
            <w:tcW w:w="0" w:type="auto"/>
            <w:shd w:val="clear" w:color="auto" w:fill="EFEFEF"/>
          </w:tcPr>
          <w:p w:rsidR="007D7CFC" w:rsidRDefault="00CA4A39">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7D7CFC" w:rsidRDefault="007D7CFC">
            <w:pPr>
              <w:spacing w:after="0"/>
            </w:pPr>
          </w:p>
        </w:tc>
      </w:tr>
    </w:tbl>
    <w:p w:rsidR="007D7CFC" w:rsidRDefault="007D7CFC">
      <w:pPr>
        <w:spacing w:after="30"/>
        <w:jc w:val="right"/>
      </w:pPr>
    </w:p>
    <w:p w:rsidR="00000000" w:rsidRDefault="00CA4A39">
      <w:pPr>
        <w:divId w:val="651520147"/>
        <w:rPr>
          <w:rFonts w:ascii="Lato" w:eastAsia="Times New Roman" w:hAnsi="Lato"/>
        </w:rPr>
      </w:pPr>
      <w:r>
        <w:rPr>
          <w:rFonts w:ascii="Lato" w:eastAsia="Times New Roman" w:hAnsi="Lato"/>
        </w:rPr>
        <w:t>The district encourages its students to further their education and training after they graduate from the district. For that reason, the district will participate in the state A+ Scholarship Program to provide students an opportunity to pursue postsecondar</w:t>
      </w:r>
      <w:r>
        <w:rPr>
          <w:rFonts w:ascii="Lato" w:eastAsia="Times New Roman" w:hAnsi="Lato"/>
        </w:rPr>
        <w:t>y education at a low cost. The district will follow the requirements established by state law and regulation for the implementation and administration of its A+ Scholarship Program.</w:t>
      </w:r>
      <w:r>
        <w:rPr>
          <w:rFonts w:ascii="Lato" w:eastAsia="Times New Roman" w:hAnsi="Lato"/>
        </w:rPr>
        <w:br/>
      </w:r>
      <w:r>
        <w:rPr>
          <w:rFonts w:ascii="Lato" w:eastAsia="Times New Roman" w:hAnsi="Lato"/>
        </w:rPr>
        <w:br/>
        <w:t>The district shall employ an A+ Scholarship coordinator, as required by l</w:t>
      </w:r>
      <w:r>
        <w:rPr>
          <w:rFonts w:ascii="Lato" w:eastAsia="Times New Roman" w:hAnsi="Lato"/>
        </w:rPr>
        <w:t xml:space="preserve">aw. The coordinator will be responsible for implementing this policy and the Dual Credit/Dual Enrollment Scholarship Program. </w:t>
      </w:r>
    </w:p>
    <w:p w:rsidR="00000000" w:rsidRDefault="00CA4A39">
      <w:pPr>
        <w:pStyle w:val="Heading3"/>
        <w:divId w:val="651520147"/>
        <w:rPr>
          <w:rFonts w:ascii="Lato" w:eastAsia="Times New Roman" w:hAnsi="Lato"/>
        </w:rPr>
      </w:pPr>
      <w:r>
        <w:rPr>
          <w:rFonts w:ascii="Lato" w:eastAsia="Times New Roman" w:hAnsi="Lato"/>
        </w:rPr>
        <w:t>Program Goals</w:t>
      </w:r>
    </w:p>
    <w:p w:rsidR="00000000" w:rsidRDefault="00CA4A39">
      <w:pPr>
        <w:divId w:val="651520147"/>
        <w:rPr>
          <w:rFonts w:ascii="Lato" w:eastAsia="Times New Roman" w:hAnsi="Lato"/>
        </w:rPr>
      </w:pPr>
      <w:r>
        <w:rPr>
          <w:rFonts w:ascii="Lato" w:eastAsia="Times New Roman" w:hAnsi="Lato"/>
        </w:rPr>
        <w:br/>
        <w:t xml:space="preserve">The district is committed to ensuring that: </w:t>
      </w:r>
    </w:p>
    <w:p w:rsidR="00000000" w:rsidRDefault="00CA4A39">
      <w:pPr>
        <w:numPr>
          <w:ilvl w:val="0"/>
          <w:numId w:val="1"/>
        </w:numPr>
        <w:spacing w:before="100" w:beforeAutospacing="1" w:after="100" w:afterAutospacing="1" w:line="240" w:lineRule="auto"/>
        <w:divId w:val="651520147"/>
        <w:rPr>
          <w:rFonts w:ascii="Lato" w:eastAsia="Times New Roman" w:hAnsi="Lato"/>
        </w:rPr>
      </w:pPr>
      <w:r>
        <w:rPr>
          <w:rFonts w:ascii="Lato" w:eastAsia="Times New Roman" w:hAnsi="Lato"/>
        </w:rPr>
        <w:t>All students graduate from high school.</w:t>
      </w:r>
      <w:r>
        <w:rPr>
          <w:rFonts w:ascii="Lato" w:eastAsia="Times New Roman" w:hAnsi="Lato"/>
        </w:rPr>
        <w:br/>
        <w:t> </w:t>
      </w:r>
    </w:p>
    <w:p w:rsidR="00000000" w:rsidRDefault="00CA4A39">
      <w:pPr>
        <w:numPr>
          <w:ilvl w:val="0"/>
          <w:numId w:val="1"/>
        </w:numPr>
        <w:spacing w:before="100" w:beforeAutospacing="1" w:after="100" w:afterAutospacing="1" w:line="240" w:lineRule="auto"/>
        <w:divId w:val="651520147"/>
        <w:rPr>
          <w:rFonts w:ascii="Lato" w:eastAsia="Times New Roman" w:hAnsi="Lato"/>
        </w:rPr>
      </w:pPr>
      <w:r>
        <w:rPr>
          <w:rFonts w:ascii="Lato" w:eastAsia="Times New Roman" w:hAnsi="Lato"/>
        </w:rPr>
        <w:t>All students complete a sel</w:t>
      </w:r>
      <w:r>
        <w:rPr>
          <w:rFonts w:ascii="Lato" w:eastAsia="Times New Roman" w:hAnsi="Lato"/>
        </w:rPr>
        <w:t>ection of high school studies that is challenging and for which there are identified learning expectations.</w:t>
      </w:r>
      <w:r>
        <w:rPr>
          <w:rFonts w:ascii="Lato" w:eastAsia="Times New Roman" w:hAnsi="Lato"/>
        </w:rPr>
        <w:br/>
        <w:t> </w:t>
      </w:r>
    </w:p>
    <w:p w:rsidR="00000000" w:rsidRDefault="00CA4A39">
      <w:pPr>
        <w:numPr>
          <w:ilvl w:val="0"/>
          <w:numId w:val="1"/>
        </w:numPr>
        <w:spacing w:before="100" w:beforeAutospacing="1" w:after="100" w:afterAutospacing="1" w:line="240" w:lineRule="auto"/>
        <w:divId w:val="651520147"/>
        <w:rPr>
          <w:rFonts w:ascii="Lato" w:eastAsia="Times New Roman" w:hAnsi="Lato"/>
        </w:rPr>
      </w:pPr>
      <w:r>
        <w:rPr>
          <w:rFonts w:ascii="Lato" w:eastAsia="Times New Roman" w:hAnsi="Lato"/>
        </w:rPr>
        <w:t xml:space="preserve">All students proceed from high school graduation to a college, postsecondary career-technical school, or high-wage job with </w:t>
      </w:r>
      <w:proofErr w:type="gramStart"/>
      <w:r>
        <w:rPr>
          <w:rFonts w:ascii="Lato" w:eastAsia="Times New Roman" w:hAnsi="Lato"/>
        </w:rPr>
        <w:t>workplace skill develo</w:t>
      </w:r>
      <w:r>
        <w:rPr>
          <w:rFonts w:ascii="Lato" w:eastAsia="Times New Roman" w:hAnsi="Lato"/>
        </w:rPr>
        <w:t>pment opportunities</w:t>
      </w:r>
      <w:proofErr w:type="gramEnd"/>
      <w:r>
        <w:rPr>
          <w:rFonts w:ascii="Lato" w:eastAsia="Times New Roman" w:hAnsi="Lato"/>
        </w:rPr>
        <w:t>.</w:t>
      </w:r>
    </w:p>
    <w:p w:rsidR="00000000" w:rsidRDefault="00CA4A39">
      <w:pPr>
        <w:pStyle w:val="Heading3"/>
        <w:divId w:val="651520147"/>
        <w:rPr>
          <w:rFonts w:ascii="Lato" w:eastAsia="Times New Roman" w:hAnsi="Lato"/>
        </w:rPr>
      </w:pPr>
      <w:r>
        <w:rPr>
          <w:rFonts w:ascii="Lato" w:eastAsia="Times New Roman" w:hAnsi="Lato"/>
        </w:rPr>
        <w:t>Citizenship Component</w:t>
      </w:r>
    </w:p>
    <w:p w:rsidR="00000000" w:rsidRDefault="00CA4A39">
      <w:pPr>
        <w:divId w:val="651520147"/>
        <w:rPr>
          <w:rFonts w:ascii="Lato" w:eastAsia="Times New Roman" w:hAnsi="Lato"/>
        </w:rPr>
      </w:pPr>
      <w:r>
        <w:rPr>
          <w:rFonts w:ascii="Lato" w:eastAsia="Times New Roman" w:hAnsi="Lato"/>
        </w:rPr>
        <w:br/>
        <w:t>An important component of the A+ Scholarship Program is the fostering of good citizenship in our district's students. Students demonstrate good citizenship by showing respect for self, law, property, and the righ</w:t>
      </w:r>
      <w:r>
        <w:rPr>
          <w:rFonts w:ascii="Lato" w:eastAsia="Times New Roman" w:hAnsi="Lato"/>
        </w:rPr>
        <w:t xml:space="preserve">ts of others. Students have not demonstrated good citizenship if, while in grades nine through twelve, they have: </w:t>
      </w:r>
    </w:p>
    <w:p w:rsidR="00000000" w:rsidRDefault="00CA4A39">
      <w:pPr>
        <w:numPr>
          <w:ilvl w:val="0"/>
          <w:numId w:val="2"/>
        </w:numPr>
        <w:spacing w:before="100" w:beforeAutospacing="1" w:after="100" w:afterAutospacing="1" w:line="240" w:lineRule="auto"/>
        <w:divId w:val="651520147"/>
        <w:rPr>
          <w:rFonts w:ascii="Lato" w:eastAsia="Times New Roman" w:hAnsi="Lato"/>
        </w:rPr>
      </w:pPr>
      <w:r>
        <w:rPr>
          <w:rFonts w:ascii="Lato" w:eastAsia="Times New Roman" w:hAnsi="Lato"/>
        </w:rPr>
        <w:t xml:space="preserve">Pled guilty or </w:t>
      </w:r>
      <w:r>
        <w:rPr>
          <w:rStyle w:val="Emphasis"/>
          <w:rFonts w:ascii="Lato" w:eastAsia="Times New Roman" w:hAnsi="Lato"/>
        </w:rPr>
        <w:t>nolo contendere</w:t>
      </w:r>
      <w:r>
        <w:rPr>
          <w:rFonts w:ascii="Lato" w:eastAsia="Times New Roman" w:hAnsi="Lato"/>
        </w:rPr>
        <w:t xml:space="preserve"> (no contest) to, received a suspended imposition of sentence or suspended execution of sentence for, agreed to</w:t>
      </w:r>
      <w:r>
        <w:rPr>
          <w:rFonts w:ascii="Lato" w:eastAsia="Times New Roman" w:hAnsi="Lato"/>
        </w:rPr>
        <w:t xml:space="preserve"> a deferred prosecution for, or been convicted or found guilty of a misdemeanor or felony.</w:t>
      </w:r>
      <w:r>
        <w:rPr>
          <w:rFonts w:ascii="Lato" w:eastAsia="Times New Roman" w:hAnsi="Lato"/>
        </w:rPr>
        <w:br/>
        <w:t> </w:t>
      </w:r>
    </w:p>
    <w:p w:rsidR="00000000" w:rsidRDefault="00CA4A39">
      <w:pPr>
        <w:numPr>
          <w:ilvl w:val="0"/>
          <w:numId w:val="2"/>
        </w:numPr>
        <w:spacing w:before="100" w:beforeAutospacing="1" w:after="100" w:afterAutospacing="1" w:line="240" w:lineRule="auto"/>
        <w:divId w:val="651520147"/>
        <w:rPr>
          <w:rFonts w:ascii="Lato" w:eastAsia="Times New Roman" w:hAnsi="Lato"/>
        </w:rPr>
      </w:pPr>
      <w:r>
        <w:rPr>
          <w:rFonts w:ascii="Lato" w:eastAsia="Times New Roman" w:hAnsi="Lato"/>
        </w:rPr>
        <w:t>Unlawfully used or possessed drugs, drug paraphernalia, or alcohol on or off school property.</w:t>
      </w:r>
      <w:r>
        <w:rPr>
          <w:rFonts w:ascii="Lato" w:eastAsia="Times New Roman" w:hAnsi="Lato"/>
        </w:rPr>
        <w:br/>
        <w:t> </w:t>
      </w:r>
    </w:p>
    <w:p w:rsidR="00000000" w:rsidRDefault="00CA4A39">
      <w:pPr>
        <w:numPr>
          <w:ilvl w:val="0"/>
          <w:numId w:val="2"/>
        </w:numPr>
        <w:spacing w:before="100" w:beforeAutospacing="1" w:after="100" w:afterAutospacing="1" w:line="240" w:lineRule="auto"/>
        <w:divId w:val="651520147"/>
        <w:rPr>
          <w:rFonts w:ascii="Lato" w:eastAsia="Times New Roman" w:hAnsi="Lato"/>
        </w:rPr>
      </w:pPr>
      <w:proofErr w:type="gramStart"/>
      <w:r>
        <w:rPr>
          <w:rFonts w:ascii="Lato" w:eastAsia="Times New Roman" w:hAnsi="Lato"/>
        </w:rPr>
        <w:t>Been suspended</w:t>
      </w:r>
      <w:proofErr w:type="gramEnd"/>
      <w:r>
        <w:rPr>
          <w:rFonts w:ascii="Lato" w:eastAsia="Times New Roman" w:hAnsi="Lato"/>
        </w:rPr>
        <w:t xml:space="preserve"> for more than ten days.</w:t>
      </w:r>
      <w:r>
        <w:rPr>
          <w:rFonts w:ascii="Lato" w:eastAsia="Times New Roman" w:hAnsi="Lato"/>
        </w:rPr>
        <w:br/>
        <w:t> </w:t>
      </w:r>
    </w:p>
    <w:p w:rsidR="00000000" w:rsidRDefault="00CA4A39">
      <w:pPr>
        <w:numPr>
          <w:ilvl w:val="0"/>
          <w:numId w:val="2"/>
        </w:numPr>
        <w:spacing w:before="100" w:beforeAutospacing="1" w:after="100" w:afterAutospacing="1" w:line="240" w:lineRule="auto"/>
        <w:divId w:val="651520147"/>
        <w:rPr>
          <w:rFonts w:ascii="Lato" w:eastAsia="Times New Roman" w:hAnsi="Lato"/>
        </w:rPr>
      </w:pPr>
      <w:r>
        <w:rPr>
          <w:rFonts w:ascii="Lato" w:eastAsia="Times New Roman" w:hAnsi="Lato"/>
        </w:rPr>
        <w:t>Violated the district's ru</w:t>
      </w:r>
      <w:r>
        <w:rPr>
          <w:rFonts w:ascii="Lato" w:eastAsia="Times New Roman" w:hAnsi="Lato"/>
        </w:rPr>
        <w:t>les governing academic dishonesty (plagiarism, cheating, etc.).</w:t>
      </w:r>
    </w:p>
    <w:p w:rsidR="00000000" w:rsidRDefault="00CA4A39">
      <w:pPr>
        <w:pStyle w:val="Heading3"/>
        <w:divId w:val="651520147"/>
        <w:rPr>
          <w:rFonts w:ascii="Lato" w:eastAsia="Times New Roman" w:hAnsi="Lato"/>
        </w:rPr>
      </w:pPr>
      <w:r>
        <w:rPr>
          <w:rFonts w:ascii="Lato" w:eastAsia="Times New Roman" w:hAnsi="Lato"/>
        </w:rPr>
        <w:t>Participation Agreement, Discipline, and Appeal</w:t>
      </w:r>
    </w:p>
    <w:p w:rsidR="00000000" w:rsidRDefault="00CA4A39">
      <w:pPr>
        <w:divId w:val="651520147"/>
        <w:rPr>
          <w:rFonts w:ascii="Lato" w:eastAsia="Times New Roman" w:hAnsi="Lato"/>
        </w:rPr>
      </w:pPr>
      <w:r>
        <w:rPr>
          <w:rFonts w:ascii="Lato" w:eastAsia="Times New Roman" w:hAnsi="Lato"/>
        </w:rPr>
        <w:br/>
        <w:t>All students wishing to participate in the A+ Scholarship Program for postsecondary education after high school must submit a completed A+ Part</w:t>
      </w:r>
      <w:r>
        <w:rPr>
          <w:rFonts w:ascii="Lato" w:eastAsia="Times New Roman" w:hAnsi="Lato"/>
        </w:rPr>
        <w:t>icipation Agreement. If the coordinator determines that a student who has submitted a participation agreement has violated the terms of that agreement or district policies or procedures regarding A+ participation, the coordinator will notify the student in</w:t>
      </w:r>
      <w:r>
        <w:rPr>
          <w:rFonts w:ascii="Lato" w:eastAsia="Times New Roman" w:hAnsi="Lato"/>
        </w:rPr>
        <w:t xml:space="preserve"> writing and may put the </w:t>
      </w:r>
      <w:r>
        <w:rPr>
          <w:rFonts w:ascii="Lato" w:eastAsia="Times New Roman" w:hAnsi="Lato"/>
        </w:rPr>
        <w:lastRenderedPageBreak/>
        <w:t>student on probation or expel the student from the program. The student or the student's parents/guardians may appeal expulsions from this program, in accordance with written district procedures, to the board of education or to a c</w:t>
      </w:r>
      <w:r>
        <w:rPr>
          <w:rFonts w:ascii="Lato" w:eastAsia="Times New Roman" w:hAnsi="Lato"/>
        </w:rPr>
        <w:t>ommittee of board members appointed by the president of the board and given the authority to act for the board. The board or the board's committee will hear the student's appeal in closed session and notify the student of its decision.</w:t>
      </w:r>
      <w:r>
        <w:rPr>
          <w:rFonts w:ascii="Lato" w:eastAsia="Times New Roman" w:hAnsi="Lato"/>
        </w:rPr>
        <w:br/>
      </w:r>
      <w:r>
        <w:rPr>
          <w:rFonts w:ascii="Lato" w:eastAsia="Times New Roman" w:hAnsi="Lato"/>
        </w:rPr>
        <w:br/>
      </w:r>
      <w:r>
        <w:rPr>
          <w:rFonts w:ascii="Lato" w:eastAsia="Times New Roman" w:hAnsi="Lato"/>
          <w:sz w:val="17"/>
          <w:szCs w:val="17"/>
        </w:rPr>
        <w:t>© 2024, Missouri Sc</w:t>
      </w:r>
      <w:r>
        <w:rPr>
          <w:rFonts w:ascii="Lato" w:eastAsia="Times New Roman" w:hAnsi="Lato"/>
          <w:sz w:val="17"/>
          <w:szCs w:val="17"/>
        </w:rPr>
        <w:t>hool Boards' Association</w:t>
      </w:r>
      <w:r>
        <w:rPr>
          <w:rFonts w:ascii="Lato" w:eastAsia="Times New Roman" w:hAnsi="Lato"/>
          <w:sz w:val="17"/>
          <w:szCs w:val="17"/>
        </w:rPr>
        <w:br/>
        <w:t>Version JFCL-C.1E (07/24)</w:t>
      </w:r>
      <w:r>
        <w:rPr>
          <w:rFonts w:ascii="Lato" w:eastAsia="Times New Roman" w:hAnsi="Lato"/>
        </w:rPr>
        <w:t xml:space="preserve"> </w:t>
      </w:r>
    </w:p>
    <w:p w:rsidR="007D7CFC" w:rsidRDefault="007D7CFC">
      <w:pPr>
        <w:pBdr>
          <w:bottom w:val="single" w:sz="5" w:space="1" w:color="auto"/>
        </w:pBdr>
      </w:pPr>
    </w:p>
    <w:p w:rsidR="00000000" w:rsidRDefault="00CA4A39">
      <w:pPr>
        <w:divId w:val="2052415792"/>
        <w:rPr>
          <w:rFonts w:ascii="Lato" w:eastAsia="Times New Roman" w:hAnsi="Lato"/>
        </w:rPr>
      </w:pPr>
      <w:r>
        <w:rPr>
          <w:rFonts w:ascii="Lato" w:eastAsia="Times New Roman" w:hAnsi="Lato"/>
        </w:rPr>
        <w:t> </w:t>
      </w:r>
    </w:p>
    <w:p w:rsidR="00000000" w:rsidRDefault="00CA4A39">
      <w:pPr>
        <w:pStyle w:val="Heading2"/>
        <w:shd w:val="clear" w:color="auto" w:fill="FFFFFF"/>
        <w:spacing w:before="0" w:beforeAutospacing="0" w:after="0" w:afterAutospacing="0"/>
        <w:textAlignment w:val="baseline"/>
        <w:divId w:val="2110814814"/>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CA4A39">
      <w:pPr>
        <w:divId w:val="2110814814"/>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D7CFC">
        <w:tblPrEx>
          <w:tblCellMar>
            <w:top w:w="0" w:type="dxa"/>
            <w:bottom w:w="0" w:type="dxa"/>
          </w:tblCellMar>
        </w:tblPrEx>
        <w:tc>
          <w:tcPr>
            <w:tcW w:w="4017" w:type="dxa"/>
          </w:tcPr>
          <w:p w:rsidR="007D7CFC" w:rsidRDefault="00CA4A39">
            <w:pPr>
              <w:spacing w:after="0"/>
            </w:pPr>
            <w:r>
              <w:rPr>
                <w:rFonts w:ascii="Lato Black"/>
                <w:b/>
              </w:rPr>
              <w:t>State</w:t>
            </w:r>
          </w:p>
        </w:tc>
        <w:tc>
          <w:tcPr>
            <w:tcW w:w="5961" w:type="dxa"/>
          </w:tcPr>
          <w:p w:rsidR="007D7CFC" w:rsidRDefault="00CA4A39">
            <w:pPr>
              <w:spacing w:after="0"/>
            </w:pPr>
            <w:r>
              <w:rPr>
                <w:rFonts w:ascii="Lato Black"/>
                <w:b/>
              </w:rPr>
              <w:t>Description</w:t>
            </w:r>
          </w:p>
        </w:tc>
      </w:tr>
      <w:tr w:rsidR="007D7CFC">
        <w:tblPrEx>
          <w:tblCellMar>
            <w:top w:w="0" w:type="dxa"/>
            <w:bottom w:w="0" w:type="dxa"/>
          </w:tblCellMar>
        </w:tblPrEx>
        <w:tc>
          <w:tcPr>
            <w:tcW w:w="4017" w:type="dxa"/>
          </w:tcPr>
          <w:p w:rsidR="007D7CFC" w:rsidRDefault="00CA4A39">
            <w:pPr>
              <w:spacing w:after="0"/>
            </w:pPr>
            <w:r>
              <w:rPr>
                <w:rFonts w:ascii="Lato"/>
              </w:rPr>
              <w:t>§</w:t>
            </w:r>
            <w:r>
              <w:rPr>
                <w:rFonts w:ascii="Lato"/>
              </w:rPr>
              <w:t xml:space="preserve"> 160.545, </w:t>
            </w:r>
            <w:proofErr w:type="spellStart"/>
            <w:r>
              <w:rPr>
                <w:rFonts w:ascii="Lato"/>
              </w:rPr>
              <w:t>RSMo</w:t>
            </w:r>
            <w:proofErr w:type="spellEnd"/>
            <w:r>
              <w:rPr>
                <w:rFonts w:ascii="Lato"/>
              </w:rPr>
              <w:t>.</w:t>
            </w:r>
          </w:p>
        </w:tc>
        <w:tc>
          <w:tcPr>
            <w:tcW w:w="5961" w:type="dxa"/>
          </w:tcPr>
          <w:p w:rsidR="007D7CFC" w:rsidRDefault="00CA4A39">
            <w:hyperlink r:id="rId5" w:docLocation="https://revisor.mo.gov/main/Home.aspx">
              <w:r>
                <w:rPr>
                  <w:rFonts w:ascii="Lato"/>
                  <w:color w:val="0563C1" w:themeColor="hyperlink"/>
                  <w:u w:val="single"/>
                </w:rPr>
                <w:t>State Statute</w:t>
              </w:r>
            </w:hyperlink>
          </w:p>
        </w:tc>
      </w:tr>
      <w:tr w:rsidR="007D7CFC">
        <w:tblPrEx>
          <w:tblCellMar>
            <w:top w:w="0" w:type="dxa"/>
            <w:bottom w:w="0" w:type="dxa"/>
          </w:tblCellMar>
        </w:tblPrEx>
        <w:tc>
          <w:tcPr>
            <w:tcW w:w="4017" w:type="dxa"/>
          </w:tcPr>
          <w:p w:rsidR="007D7CFC" w:rsidRDefault="00CA4A39">
            <w:pPr>
              <w:spacing w:after="0"/>
            </w:pPr>
            <w:r>
              <w:rPr>
                <w:rFonts w:ascii="Lato"/>
              </w:rPr>
              <w:t>5 C.S.R. 20-100.200</w:t>
            </w:r>
          </w:p>
        </w:tc>
        <w:tc>
          <w:tcPr>
            <w:tcW w:w="5961" w:type="dxa"/>
          </w:tcPr>
          <w:p w:rsidR="007D7CFC" w:rsidRDefault="00CA4A39">
            <w:hyperlink r:id="rId6" w:docLocation="http://www.sos.mo.gov/adrules/csr/csr.asp">
              <w:r>
                <w:rPr>
                  <w:rFonts w:ascii="Lato"/>
                  <w:color w:val="0563C1" w:themeColor="hyperlink"/>
                  <w:u w:val="single"/>
                </w:rPr>
                <w:t>State Regulatio</w:t>
              </w:r>
              <w:r>
                <w:rPr>
                  <w:rFonts w:ascii="Lato"/>
                  <w:color w:val="0563C1" w:themeColor="hyperlink"/>
                  <w:u w:val="single"/>
                </w:rPr>
                <w:t>n</w:t>
              </w:r>
            </w:hyperlink>
          </w:p>
        </w:tc>
      </w:tr>
      <w:tr w:rsidR="007D7CFC">
        <w:tblPrEx>
          <w:tblCellMar>
            <w:top w:w="0" w:type="dxa"/>
            <w:bottom w:w="0" w:type="dxa"/>
          </w:tblCellMar>
        </w:tblPrEx>
        <w:tc>
          <w:tcPr>
            <w:tcW w:w="4017" w:type="dxa"/>
          </w:tcPr>
          <w:p w:rsidR="007D7CFC" w:rsidRDefault="00CA4A39">
            <w:pPr>
              <w:spacing w:after="0"/>
            </w:pPr>
            <w:r>
              <w:rPr>
                <w:rFonts w:ascii="Lato"/>
              </w:rPr>
              <w:t>6 C.S.R. 10-2.190, .195</w:t>
            </w:r>
          </w:p>
        </w:tc>
        <w:tc>
          <w:tcPr>
            <w:tcW w:w="5961" w:type="dxa"/>
          </w:tcPr>
          <w:p w:rsidR="007D7CFC" w:rsidRDefault="00CA4A39">
            <w:hyperlink r:id="rId7" w:docLocation="https://www.sos.mo.gov/adrules/csr/csr.asp">
              <w:r>
                <w:rPr>
                  <w:rFonts w:ascii="Lato"/>
                  <w:color w:val="0563C1" w:themeColor="hyperlink"/>
                  <w:u w:val="single"/>
                </w:rPr>
                <w:t>State Regulation</w:t>
              </w:r>
            </w:hyperlink>
          </w:p>
        </w:tc>
      </w:tr>
    </w:tbl>
    <w:p w:rsidR="00000000" w:rsidRDefault="00CA4A39">
      <w:pPr>
        <w:shd w:val="clear" w:color="auto" w:fill="F9F9F9"/>
        <w:spacing w:line="480" w:lineRule="auto"/>
        <w:divId w:val="393820107"/>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D7CFC">
        <w:tblPrEx>
          <w:tblCellMar>
            <w:top w:w="0" w:type="dxa"/>
            <w:bottom w:w="0" w:type="dxa"/>
          </w:tblCellMar>
        </w:tblPrEx>
        <w:tc>
          <w:tcPr>
            <w:tcW w:w="4017" w:type="dxa"/>
          </w:tcPr>
          <w:p w:rsidR="007D7CFC" w:rsidRDefault="00CA4A39">
            <w:pPr>
              <w:spacing w:after="0"/>
            </w:pPr>
            <w:r>
              <w:rPr>
                <w:rFonts w:ascii="Lato Black"/>
                <w:b/>
              </w:rPr>
              <w:t>Code</w:t>
            </w:r>
          </w:p>
        </w:tc>
        <w:tc>
          <w:tcPr>
            <w:tcW w:w="5961" w:type="dxa"/>
          </w:tcPr>
          <w:p w:rsidR="007D7CFC" w:rsidRDefault="00CA4A39">
            <w:pPr>
              <w:spacing w:after="0"/>
            </w:pPr>
            <w:r>
              <w:rPr>
                <w:rFonts w:ascii="Lato Black"/>
                <w:b/>
              </w:rPr>
              <w:t>Description</w:t>
            </w:r>
          </w:p>
        </w:tc>
      </w:tr>
      <w:tr w:rsidR="007D7CFC">
        <w:tblPrEx>
          <w:tblCellMar>
            <w:top w:w="0" w:type="dxa"/>
            <w:bottom w:w="0" w:type="dxa"/>
          </w:tblCellMar>
        </w:tblPrEx>
        <w:tc>
          <w:tcPr>
            <w:tcW w:w="4017" w:type="dxa"/>
          </w:tcPr>
          <w:p w:rsidR="007D7CFC" w:rsidRDefault="00CA4A39">
            <w:pPr>
              <w:spacing w:after="0"/>
            </w:pPr>
            <w:r>
              <w:rPr>
                <w:rFonts w:ascii="Lato"/>
              </w:rPr>
              <w:t>IGBD-1</w:t>
            </w:r>
          </w:p>
        </w:tc>
        <w:tc>
          <w:tcPr>
            <w:tcW w:w="5961" w:type="dxa"/>
          </w:tcPr>
          <w:p w:rsidR="007D7CFC" w:rsidRDefault="00CA4A39">
            <w:hyperlink r:id="rId8" w:docLocation="https://simbli.eboardsolutions.com/Policy/ViewPolicy.aspx?S=36031111&amp;revid=M5FhBrN4N2MLCwwL644mslshA==">
              <w:r>
                <w:rPr>
                  <w:rFonts w:ascii="Lato"/>
                  <w:color w:val="0563C1" w:themeColor="hyperlink"/>
                  <w:u w:val="single"/>
                </w:rPr>
                <w:t>AT RISK STUDENTS</w:t>
              </w:r>
            </w:hyperlink>
          </w:p>
        </w:tc>
      </w:tr>
      <w:tr w:rsidR="007D7CFC">
        <w:tblPrEx>
          <w:tblCellMar>
            <w:top w:w="0" w:type="dxa"/>
            <w:bottom w:w="0" w:type="dxa"/>
          </w:tblCellMar>
        </w:tblPrEx>
        <w:tc>
          <w:tcPr>
            <w:tcW w:w="4017" w:type="dxa"/>
          </w:tcPr>
          <w:p w:rsidR="007D7CFC" w:rsidRDefault="00CA4A39">
            <w:pPr>
              <w:spacing w:after="0"/>
            </w:pPr>
            <w:r>
              <w:rPr>
                <w:rFonts w:ascii="Lato"/>
              </w:rPr>
              <w:t>IGCE-1</w:t>
            </w:r>
          </w:p>
        </w:tc>
        <w:tc>
          <w:tcPr>
            <w:tcW w:w="5961" w:type="dxa"/>
          </w:tcPr>
          <w:p w:rsidR="007D7CFC" w:rsidRDefault="00CA4A39">
            <w:hyperlink r:id="rId9" w:docLocation="https://simbli.eboardsolutions.com/Policy/ViewPolicy.aspx?S=36031111&amp;revid=82tpdYbzCvixkPb5jqYQ6A==">
              <w:r>
                <w:rPr>
                  <w:rFonts w:ascii="Lato"/>
                  <w:color w:val="0563C1" w:themeColor="hyperlink"/>
                  <w:u w:val="single"/>
                </w:rPr>
                <w:t>NONTRADITIONAL INSTRUCTION OPTIONS</w:t>
              </w:r>
            </w:hyperlink>
          </w:p>
        </w:tc>
      </w:tr>
      <w:tr w:rsidR="007D7CFC">
        <w:tblPrEx>
          <w:tblCellMar>
            <w:top w:w="0" w:type="dxa"/>
            <w:bottom w:w="0" w:type="dxa"/>
          </w:tblCellMar>
        </w:tblPrEx>
        <w:tc>
          <w:tcPr>
            <w:tcW w:w="4017" w:type="dxa"/>
          </w:tcPr>
          <w:p w:rsidR="007D7CFC" w:rsidRDefault="00CA4A39">
            <w:pPr>
              <w:spacing w:after="0"/>
            </w:pPr>
            <w:r>
              <w:rPr>
                <w:rFonts w:ascii="Lato"/>
              </w:rPr>
              <w:t>IGCE-2</w:t>
            </w:r>
          </w:p>
        </w:tc>
        <w:tc>
          <w:tcPr>
            <w:tcW w:w="5961" w:type="dxa"/>
          </w:tcPr>
          <w:p w:rsidR="007D7CFC" w:rsidRDefault="00CA4A39">
            <w:hyperlink r:id="rId10" w:docLocation="https://simbli.eboardsolutions.com/Policy/ViewPolicy.aspx?S=36031111&amp;revid=SlrKM2mFgaJkdp5xGRdrlA==">
              <w:r>
                <w:rPr>
                  <w:rFonts w:ascii="Lato"/>
                  <w:color w:val="0563C1" w:themeColor="hyperlink"/>
                  <w:u w:val="single"/>
                </w:rPr>
                <w:t>NONTRADITIONAL INSTRUCTION OPTIONS</w:t>
              </w:r>
            </w:hyperlink>
          </w:p>
        </w:tc>
      </w:tr>
    </w:tbl>
    <w:p w:rsidR="00000000" w:rsidRDefault="00CA4A39"/>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389"/>
    <w:multiLevelType w:val="multilevel"/>
    <w:tmpl w:val="4148F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14470B"/>
    <w:multiLevelType w:val="multilevel"/>
    <w:tmpl w:val="4B30F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FC"/>
    <w:rsid w:val="007D7CFC"/>
    <w:rsid w:val="00CA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4EE5E"/>
  <w15:docId w15:val="{DBABF632-DA74-4D4E-A5DF-917B921D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0461">
      <w:bodyDiv w:val="1"/>
      <w:marLeft w:val="0"/>
      <w:marRight w:val="0"/>
      <w:marTop w:val="0"/>
      <w:marBottom w:val="0"/>
      <w:divBdr>
        <w:top w:val="none" w:sz="0" w:space="0" w:color="auto"/>
        <w:left w:val="none" w:sz="0" w:space="0" w:color="auto"/>
        <w:bottom w:val="none" w:sz="0" w:space="0" w:color="auto"/>
        <w:right w:val="none" w:sz="0" w:space="0" w:color="auto"/>
      </w:divBdr>
      <w:divsChild>
        <w:div w:id="393820107">
          <w:marLeft w:val="0"/>
          <w:marRight w:val="0"/>
          <w:marTop w:val="150"/>
          <w:marBottom w:val="0"/>
          <w:divBdr>
            <w:top w:val="none" w:sz="0" w:space="0" w:color="auto"/>
            <w:left w:val="none" w:sz="0" w:space="0" w:color="auto"/>
            <w:bottom w:val="none" w:sz="0" w:space="0" w:color="auto"/>
            <w:right w:val="none" w:sz="0" w:space="0" w:color="auto"/>
          </w:divBdr>
        </w:div>
      </w:divsChild>
    </w:div>
    <w:div w:id="651520147">
      <w:bodyDiv w:val="1"/>
      <w:marLeft w:val="0"/>
      <w:marRight w:val="0"/>
      <w:marTop w:val="0"/>
      <w:marBottom w:val="0"/>
      <w:divBdr>
        <w:top w:val="none" w:sz="0" w:space="0" w:color="auto"/>
        <w:left w:val="none" w:sz="0" w:space="0" w:color="auto"/>
        <w:bottom w:val="none" w:sz="0" w:space="0" w:color="auto"/>
        <w:right w:val="none" w:sz="0" w:space="0" w:color="auto"/>
      </w:divBdr>
    </w:div>
    <w:div w:id="2110814814">
      <w:bodyDiv w:val="1"/>
      <w:marLeft w:val="0"/>
      <w:marRight w:val="0"/>
      <w:marTop w:val="0"/>
      <w:marBottom w:val="0"/>
      <w:divBdr>
        <w:top w:val="none" w:sz="0" w:space="0" w:color="auto"/>
        <w:left w:val="none" w:sz="0" w:space="0" w:color="auto"/>
        <w:bottom w:val="none" w:sz="0" w:space="0" w:color="auto"/>
        <w:right w:val="none" w:sz="0" w:space="0" w:color="auto"/>
      </w:divBdr>
      <w:divsChild>
        <w:div w:id="1975089314">
          <w:marLeft w:val="0"/>
          <w:marRight w:val="0"/>
          <w:marTop w:val="0"/>
          <w:marBottom w:val="0"/>
          <w:divBdr>
            <w:top w:val="none" w:sz="0" w:space="0" w:color="auto"/>
            <w:left w:val="none" w:sz="0" w:space="0" w:color="auto"/>
            <w:bottom w:val="none" w:sz="0" w:space="0" w:color="auto"/>
            <w:right w:val="none" w:sz="0" w:space="0" w:color="auto"/>
          </w:divBdr>
          <w:divsChild>
            <w:div w:id="211161089">
              <w:marLeft w:val="0"/>
              <w:marRight w:val="0"/>
              <w:marTop w:val="0"/>
              <w:marBottom w:val="0"/>
              <w:divBdr>
                <w:top w:val="none" w:sz="0" w:space="0" w:color="auto"/>
                <w:left w:val="none" w:sz="0" w:space="0" w:color="auto"/>
                <w:bottom w:val="none" w:sz="0" w:space="0" w:color="auto"/>
                <w:right w:val="none" w:sz="0" w:space="0" w:color="auto"/>
              </w:divBdr>
              <w:divsChild>
                <w:div w:id="205241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M5FhBrN4N2MLCwwL644mslshA==" TargetMode="External"/><Relationship Id="rId3" Type="http://schemas.openxmlformats.org/officeDocument/2006/relationships/settings" Target="settings.xml"/><Relationship Id="rId7" Type="http://schemas.openxmlformats.org/officeDocument/2006/relationships/hyperlink" Target="https://www.sos.mo.gov/adrules/csr/csr.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s.mo.gov/adrules/csr/csr.asp" TargetMode="External"/><Relationship Id="rId11" Type="http://schemas.openxmlformats.org/officeDocument/2006/relationships/fontTable" Target="fontTable.xml"/><Relationship Id="rId5" Type="http://schemas.openxmlformats.org/officeDocument/2006/relationships/hyperlink" Target="https://revisor.mo.gov/main/Home.aspx" TargetMode="External"/><Relationship Id="rId10" Type="http://schemas.openxmlformats.org/officeDocument/2006/relationships/hyperlink" Target="https://simbli.eboardsolutions.com/Policy/ViewPolicy.aspx?S=36031111&amp;revid=SlrKM2mFgaJkdp5xGRdrlA=="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82tpdYbzCvixkPb5jqYQ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2024-12-31T21:21:00Z</dcterms:created>
  <dcterms:modified xsi:type="dcterms:W3CDTF">2024-12-31T21:21:00Z</dcterms:modified>
</cp:coreProperties>
</file>